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3F194" w14:textId="679AC3E4" w:rsidR="005A4E48" w:rsidRPr="00923F3E" w:rsidRDefault="00B90E25" w:rsidP="005A4E48">
      <w:pPr>
        <w:jc w:val="both"/>
        <w:rPr>
          <w:b/>
          <w:bCs/>
          <w:sz w:val="26"/>
          <w:szCs w:val="26"/>
        </w:rPr>
      </w:pPr>
      <w:r>
        <w:rPr>
          <w:b/>
          <w:bCs/>
          <w:sz w:val="26"/>
          <w:szCs w:val="26"/>
        </w:rPr>
        <w:t>Informações do Banco Central do Brasil</w:t>
      </w:r>
    </w:p>
    <w:p w14:paraId="5DF9F9A4" w14:textId="7B941387" w:rsidR="00F35CB1" w:rsidRPr="00894FD0" w:rsidRDefault="00F35CB1" w:rsidP="00F35CB1">
      <w:pPr>
        <w:jc w:val="both"/>
        <w:rPr>
          <w:sz w:val="24"/>
          <w:szCs w:val="24"/>
        </w:rPr>
      </w:pPr>
      <w:r w:rsidRPr="00894FD0">
        <w:rPr>
          <w:sz w:val="24"/>
          <w:szCs w:val="24"/>
        </w:rPr>
        <w:t xml:space="preserve">Instado a se manifestar sobre </w:t>
      </w:r>
      <w:r w:rsidR="00667B81">
        <w:rPr>
          <w:sz w:val="24"/>
          <w:szCs w:val="24"/>
        </w:rPr>
        <w:t>a legislação</w:t>
      </w:r>
      <w:r w:rsidR="0051588B">
        <w:rPr>
          <w:sz w:val="24"/>
          <w:szCs w:val="24"/>
        </w:rPr>
        <w:t xml:space="preserve"> do Banco Central do Brasil (BCB)</w:t>
      </w:r>
      <w:r w:rsidR="00667B81">
        <w:rPr>
          <w:sz w:val="24"/>
          <w:szCs w:val="24"/>
        </w:rPr>
        <w:t xml:space="preserve"> aplicável às operações de crédito consignado, </w:t>
      </w:r>
      <w:r w:rsidR="0054518B">
        <w:rPr>
          <w:sz w:val="24"/>
          <w:szCs w:val="24"/>
        </w:rPr>
        <w:t xml:space="preserve">a forma de fiscalização realizada pelo BCB, os canais de denúncia de descontos indevidos </w:t>
      </w:r>
      <w:r w:rsidR="00E05E4D">
        <w:rPr>
          <w:sz w:val="24"/>
          <w:szCs w:val="24"/>
        </w:rPr>
        <w:t>e</w:t>
      </w:r>
      <w:r w:rsidR="00237888">
        <w:rPr>
          <w:sz w:val="24"/>
          <w:szCs w:val="24"/>
        </w:rPr>
        <w:t xml:space="preserve"> os respectivos procedimentos </w:t>
      </w:r>
      <w:r w:rsidR="00E05E4D">
        <w:rPr>
          <w:sz w:val="24"/>
          <w:szCs w:val="24"/>
        </w:rPr>
        <w:t>para tratar tais denúncias, além de out</w:t>
      </w:r>
      <w:r w:rsidR="0065244D">
        <w:rPr>
          <w:sz w:val="24"/>
          <w:szCs w:val="24"/>
        </w:rPr>
        <w:t>ras forma possíveis para proteger o correntista tomador de crédito consignado,</w:t>
      </w:r>
      <w:r w:rsidRPr="00894FD0">
        <w:rPr>
          <w:sz w:val="24"/>
          <w:szCs w:val="24"/>
        </w:rPr>
        <w:t xml:space="preserve"> conforme Ofício </w:t>
      </w:r>
      <w:r w:rsidR="00F90FE2">
        <w:rPr>
          <w:sz w:val="24"/>
          <w:szCs w:val="24"/>
        </w:rPr>
        <w:t>000.039/2023</w:t>
      </w:r>
      <w:r w:rsidRPr="00894FD0">
        <w:rPr>
          <w:sz w:val="24"/>
          <w:szCs w:val="24"/>
        </w:rPr>
        <w:t>-TCU/</w:t>
      </w:r>
      <w:proofErr w:type="spellStart"/>
      <w:r w:rsidR="00F90FE2">
        <w:rPr>
          <w:sz w:val="24"/>
          <w:szCs w:val="24"/>
        </w:rPr>
        <w:t>AudBenefícios</w:t>
      </w:r>
      <w:proofErr w:type="spellEnd"/>
      <w:r w:rsidRPr="00894FD0">
        <w:rPr>
          <w:sz w:val="24"/>
          <w:szCs w:val="24"/>
        </w:rPr>
        <w:t xml:space="preserve"> (</w:t>
      </w:r>
      <w:r w:rsidR="00E40F39">
        <w:rPr>
          <w:sz w:val="24"/>
          <w:szCs w:val="24"/>
        </w:rPr>
        <w:t>Peça 13</w:t>
      </w:r>
      <w:r w:rsidRPr="00894FD0">
        <w:rPr>
          <w:sz w:val="24"/>
          <w:szCs w:val="24"/>
        </w:rPr>
        <w:t xml:space="preserve">), o </w:t>
      </w:r>
      <w:r w:rsidR="00E40F39">
        <w:rPr>
          <w:sz w:val="24"/>
          <w:szCs w:val="24"/>
        </w:rPr>
        <w:t>BCB</w:t>
      </w:r>
      <w:r w:rsidRPr="00894FD0">
        <w:rPr>
          <w:sz w:val="24"/>
          <w:szCs w:val="24"/>
        </w:rPr>
        <w:t xml:space="preserve"> apresentou a resposta constante na </w:t>
      </w:r>
      <w:r w:rsidR="008B03F9">
        <w:rPr>
          <w:sz w:val="24"/>
          <w:szCs w:val="24"/>
        </w:rPr>
        <w:t>P</w:t>
      </w:r>
      <w:r w:rsidRPr="00894FD0">
        <w:rPr>
          <w:sz w:val="24"/>
          <w:szCs w:val="24"/>
        </w:rPr>
        <w:t>eça 1</w:t>
      </w:r>
      <w:r w:rsidR="008B03F9">
        <w:rPr>
          <w:sz w:val="24"/>
          <w:szCs w:val="24"/>
        </w:rPr>
        <w:t>9</w:t>
      </w:r>
      <w:r w:rsidRPr="00894FD0">
        <w:rPr>
          <w:sz w:val="24"/>
          <w:szCs w:val="24"/>
        </w:rPr>
        <w:t>, que se mostra sumarizada abaixo.</w:t>
      </w:r>
    </w:p>
    <w:p w14:paraId="59EAEC4E" w14:textId="77BD628C" w:rsidR="00F35CB1" w:rsidRPr="00707EAE" w:rsidRDefault="00F35CB1" w:rsidP="0051588B">
      <w:pPr>
        <w:jc w:val="both"/>
        <w:rPr>
          <w:b/>
          <w:bCs/>
          <w:sz w:val="24"/>
          <w:szCs w:val="24"/>
        </w:rPr>
      </w:pPr>
      <w:r>
        <w:rPr>
          <w:b/>
          <w:bCs/>
          <w:sz w:val="24"/>
          <w:szCs w:val="24"/>
        </w:rPr>
        <w:t>1.</w:t>
      </w:r>
      <w:r w:rsidR="00EE5AF8">
        <w:rPr>
          <w:b/>
          <w:bCs/>
          <w:sz w:val="24"/>
          <w:szCs w:val="24"/>
        </w:rPr>
        <w:t>1</w:t>
      </w:r>
      <w:r>
        <w:rPr>
          <w:b/>
          <w:bCs/>
          <w:sz w:val="24"/>
          <w:szCs w:val="24"/>
        </w:rPr>
        <w:t xml:space="preserve"> </w:t>
      </w:r>
      <w:r w:rsidRPr="00707EAE">
        <w:rPr>
          <w:b/>
          <w:bCs/>
          <w:sz w:val="24"/>
          <w:szCs w:val="24"/>
        </w:rPr>
        <w:t xml:space="preserve">Quanto </w:t>
      </w:r>
      <w:r w:rsidR="0051588B" w:rsidRPr="0051588B">
        <w:rPr>
          <w:b/>
          <w:bCs/>
          <w:sz w:val="24"/>
          <w:szCs w:val="24"/>
        </w:rPr>
        <w:t>a atual legislação do Banco Central do Brasil em relação às operações de crédito</w:t>
      </w:r>
    </w:p>
    <w:p w14:paraId="5B36BAD2" w14:textId="6007D68E" w:rsidR="0038610D" w:rsidRDefault="004030A0" w:rsidP="00F35CB1">
      <w:pPr>
        <w:jc w:val="both"/>
        <w:rPr>
          <w:sz w:val="24"/>
          <w:szCs w:val="24"/>
        </w:rPr>
      </w:pPr>
      <w:r>
        <w:rPr>
          <w:sz w:val="24"/>
          <w:szCs w:val="24"/>
        </w:rPr>
        <w:t xml:space="preserve">Além </w:t>
      </w:r>
      <w:r w:rsidR="001100EF">
        <w:rPr>
          <w:sz w:val="24"/>
          <w:szCs w:val="24"/>
        </w:rPr>
        <w:t>da legislação geral aplicável a todas as operações de crédito, n</w:t>
      </w:r>
      <w:r w:rsidR="0038610D">
        <w:rPr>
          <w:sz w:val="24"/>
          <w:szCs w:val="24"/>
        </w:rPr>
        <w:t>ão existe</w:t>
      </w:r>
      <w:r w:rsidR="00A604A4">
        <w:rPr>
          <w:sz w:val="24"/>
          <w:szCs w:val="24"/>
        </w:rPr>
        <w:t>m</w:t>
      </w:r>
      <w:r w:rsidR="0038610D">
        <w:rPr>
          <w:sz w:val="24"/>
          <w:szCs w:val="24"/>
        </w:rPr>
        <w:t xml:space="preserve"> </w:t>
      </w:r>
      <w:r w:rsidR="00A604A4">
        <w:rPr>
          <w:sz w:val="24"/>
          <w:szCs w:val="24"/>
        </w:rPr>
        <w:t>regras estabelecidas pelo Conselho Monetário Nacional (CMN) ou pelo BCB</w:t>
      </w:r>
      <w:r w:rsidR="0038610D">
        <w:rPr>
          <w:sz w:val="24"/>
          <w:szCs w:val="24"/>
        </w:rPr>
        <w:t xml:space="preserve"> que regulamente</w:t>
      </w:r>
      <w:r w:rsidR="00A604A4">
        <w:rPr>
          <w:sz w:val="24"/>
          <w:szCs w:val="24"/>
        </w:rPr>
        <w:t>m</w:t>
      </w:r>
      <w:r w:rsidR="0038610D">
        <w:rPr>
          <w:sz w:val="24"/>
          <w:szCs w:val="24"/>
        </w:rPr>
        <w:t xml:space="preserve"> especificamente </w:t>
      </w:r>
      <w:r w:rsidR="00A523BB">
        <w:rPr>
          <w:sz w:val="24"/>
          <w:szCs w:val="24"/>
        </w:rPr>
        <w:t>a</w:t>
      </w:r>
      <w:r w:rsidR="0038610D">
        <w:rPr>
          <w:sz w:val="24"/>
          <w:szCs w:val="24"/>
        </w:rPr>
        <w:t xml:space="preserve"> </w:t>
      </w:r>
      <w:r w:rsidR="00A523BB">
        <w:rPr>
          <w:sz w:val="24"/>
          <w:szCs w:val="24"/>
        </w:rPr>
        <w:t>contratação de empréstimo</w:t>
      </w:r>
      <w:r w:rsidR="0038610D">
        <w:rPr>
          <w:sz w:val="24"/>
          <w:szCs w:val="24"/>
        </w:rPr>
        <w:t xml:space="preserve"> consignado</w:t>
      </w:r>
      <w:r w:rsidR="00A523BB">
        <w:rPr>
          <w:sz w:val="24"/>
          <w:szCs w:val="24"/>
        </w:rPr>
        <w:t xml:space="preserve"> ou </w:t>
      </w:r>
      <w:r>
        <w:rPr>
          <w:sz w:val="24"/>
          <w:szCs w:val="24"/>
        </w:rPr>
        <w:t>de cartão de crédito consignado</w:t>
      </w:r>
      <w:r w:rsidR="000A0DC3">
        <w:rPr>
          <w:sz w:val="24"/>
          <w:szCs w:val="24"/>
        </w:rPr>
        <w:t>.</w:t>
      </w:r>
    </w:p>
    <w:p w14:paraId="771516E2" w14:textId="4C5513F6" w:rsidR="00EE5AF8" w:rsidRPr="00707EAE" w:rsidRDefault="00EE5AF8" w:rsidP="0096788D">
      <w:pPr>
        <w:jc w:val="both"/>
        <w:rPr>
          <w:b/>
          <w:bCs/>
          <w:sz w:val="24"/>
          <w:szCs w:val="24"/>
        </w:rPr>
      </w:pPr>
      <w:r>
        <w:rPr>
          <w:b/>
          <w:bCs/>
          <w:sz w:val="24"/>
          <w:szCs w:val="24"/>
        </w:rPr>
        <w:t xml:space="preserve">1.2 </w:t>
      </w:r>
      <w:r w:rsidRPr="00707EAE">
        <w:rPr>
          <w:b/>
          <w:bCs/>
          <w:sz w:val="24"/>
          <w:szCs w:val="24"/>
        </w:rPr>
        <w:t xml:space="preserve">Quanto </w:t>
      </w:r>
      <w:r w:rsidR="0096788D">
        <w:rPr>
          <w:b/>
          <w:bCs/>
          <w:sz w:val="24"/>
          <w:szCs w:val="24"/>
        </w:rPr>
        <w:t>à</w:t>
      </w:r>
      <w:r w:rsidRPr="0051588B">
        <w:rPr>
          <w:b/>
          <w:bCs/>
          <w:sz w:val="24"/>
          <w:szCs w:val="24"/>
        </w:rPr>
        <w:t xml:space="preserve"> </w:t>
      </w:r>
      <w:r w:rsidR="0096788D" w:rsidRPr="0096788D">
        <w:rPr>
          <w:b/>
          <w:bCs/>
          <w:sz w:val="24"/>
          <w:szCs w:val="24"/>
        </w:rPr>
        <w:t>fiscaliza</w:t>
      </w:r>
      <w:r w:rsidR="0096788D">
        <w:rPr>
          <w:b/>
          <w:bCs/>
          <w:sz w:val="24"/>
          <w:szCs w:val="24"/>
        </w:rPr>
        <w:t>ção</w:t>
      </w:r>
      <w:r w:rsidR="0096788D" w:rsidRPr="0096788D">
        <w:rPr>
          <w:b/>
          <w:bCs/>
          <w:sz w:val="24"/>
          <w:szCs w:val="24"/>
        </w:rPr>
        <w:t xml:space="preserve"> </w:t>
      </w:r>
      <w:r w:rsidR="0096788D">
        <w:rPr>
          <w:b/>
          <w:bCs/>
          <w:sz w:val="24"/>
          <w:szCs w:val="24"/>
        </w:rPr>
        <w:t xml:space="preserve">exercida sobre </w:t>
      </w:r>
      <w:r w:rsidR="0096788D" w:rsidRPr="0096788D">
        <w:rPr>
          <w:b/>
          <w:bCs/>
          <w:sz w:val="24"/>
          <w:szCs w:val="24"/>
        </w:rPr>
        <w:t>as instituições financeiras em relação às operações de crédito consignado</w:t>
      </w:r>
    </w:p>
    <w:p w14:paraId="6600C1FF" w14:textId="450CC764" w:rsidR="006F6B19" w:rsidRDefault="006F6B19" w:rsidP="00F520CE">
      <w:pPr>
        <w:jc w:val="both"/>
        <w:rPr>
          <w:sz w:val="24"/>
          <w:szCs w:val="24"/>
        </w:rPr>
      </w:pPr>
      <w:r>
        <w:rPr>
          <w:sz w:val="24"/>
          <w:szCs w:val="24"/>
        </w:rPr>
        <w:t xml:space="preserve">São dois departamentos </w:t>
      </w:r>
      <w:r w:rsidR="00D95A97">
        <w:rPr>
          <w:sz w:val="24"/>
          <w:szCs w:val="24"/>
        </w:rPr>
        <w:t xml:space="preserve">no BCB que realizam </w:t>
      </w:r>
      <w:r w:rsidR="000C6846">
        <w:rPr>
          <w:sz w:val="24"/>
          <w:szCs w:val="24"/>
        </w:rPr>
        <w:t>a fiscalização das operações de crédito consignado</w:t>
      </w:r>
      <w:r w:rsidR="00FD2084">
        <w:rPr>
          <w:sz w:val="24"/>
          <w:szCs w:val="24"/>
        </w:rPr>
        <w:t xml:space="preserve">: </w:t>
      </w:r>
      <w:r w:rsidR="00FD2084" w:rsidRPr="00FD2084">
        <w:rPr>
          <w:sz w:val="24"/>
          <w:szCs w:val="24"/>
        </w:rPr>
        <w:t>o Departamento de Supervisão Bancária (</w:t>
      </w:r>
      <w:proofErr w:type="spellStart"/>
      <w:r w:rsidR="00FD2084" w:rsidRPr="00FD2084">
        <w:rPr>
          <w:sz w:val="24"/>
          <w:szCs w:val="24"/>
        </w:rPr>
        <w:t>Desup</w:t>
      </w:r>
      <w:proofErr w:type="spellEnd"/>
      <w:r w:rsidR="00FD2084" w:rsidRPr="00FD2084">
        <w:rPr>
          <w:sz w:val="24"/>
          <w:szCs w:val="24"/>
        </w:rPr>
        <w:t>) e o Departamento de Supervisão de Conduta (</w:t>
      </w:r>
      <w:proofErr w:type="spellStart"/>
      <w:r w:rsidR="00FD2084" w:rsidRPr="00FD2084">
        <w:rPr>
          <w:sz w:val="24"/>
          <w:szCs w:val="24"/>
        </w:rPr>
        <w:t>Decon</w:t>
      </w:r>
      <w:proofErr w:type="spellEnd"/>
      <w:r w:rsidR="00FD2084" w:rsidRPr="00FD2084">
        <w:rPr>
          <w:sz w:val="24"/>
          <w:szCs w:val="24"/>
        </w:rPr>
        <w:t>)</w:t>
      </w:r>
      <w:r w:rsidR="00FD2084">
        <w:rPr>
          <w:sz w:val="24"/>
          <w:szCs w:val="24"/>
        </w:rPr>
        <w:t>. O</w:t>
      </w:r>
      <w:r w:rsidR="000A0DC3" w:rsidRPr="000A0DC3">
        <w:rPr>
          <w:sz w:val="24"/>
          <w:szCs w:val="24"/>
        </w:rPr>
        <w:t xml:space="preserve"> </w:t>
      </w:r>
      <w:proofErr w:type="spellStart"/>
      <w:r w:rsidR="000A0DC3" w:rsidRPr="000A0DC3">
        <w:rPr>
          <w:sz w:val="24"/>
          <w:szCs w:val="24"/>
        </w:rPr>
        <w:t>Desup</w:t>
      </w:r>
      <w:proofErr w:type="spellEnd"/>
      <w:r w:rsidR="000A0DC3" w:rsidRPr="000A0DC3">
        <w:rPr>
          <w:sz w:val="24"/>
          <w:szCs w:val="24"/>
        </w:rPr>
        <w:t xml:space="preserve"> </w:t>
      </w:r>
      <w:r w:rsidR="00FD2084" w:rsidRPr="00FD2084">
        <w:rPr>
          <w:sz w:val="24"/>
          <w:szCs w:val="24"/>
        </w:rPr>
        <w:t>acompanha o relacionamento das entidades supervisionadas com os correspondentes bancários em termos de remuneração</w:t>
      </w:r>
      <w:r w:rsidR="00FD2084">
        <w:rPr>
          <w:sz w:val="24"/>
          <w:szCs w:val="24"/>
        </w:rPr>
        <w:t>, e o</w:t>
      </w:r>
      <w:r w:rsidR="000A0DC3" w:rsidRPr="000A0DC3">
        <w:rPr>
          <w:sz w:val="24"/>
          <w:szCs w:val="24"/>
        </w:rPr>
        <w:t xml:space="preserve"> </w:t>
      </w:r>
      <w:proofErr w:type="spellStart"/>
      <w:r w:rsidR="000A0DC3" w:rsidRPr="000A0DC3">
        <w:rPr>
          <w:sz w:val="24"/>
          <w:szCs w:val="24"/>
        </w:rPr>
        <w:t>Decon</w:t>
      </w:r>
      <w:proofErr w:type="spellEnd"/>
      <w:r w:rsidR="00FD2084">
        <w:rPr>
          <w:sz w:val="24"/>
          <w:szCs w:val="24"/>
        </w:rPr>
        <w:t xml:space="preserve"> </w:t>
      </w:r>
      <w:r w:rsidR="00F520CE" w:rsidRPr="00F520CE">
        <w:rPr>
          <w:sz w:val="24"/>
          <w:szCs w:val="24"/>
        </w:rPr>
        <w:t>é responsável pelos demais temas envolvendo todos os aspectos de contratação de correspondentes no País pelas instituições financeiras e pelas demais instituições autorizadas a funcionar pelo BCB</w:t>
      </w:r>
      <w:r w:rsidR="00F520CE">
        <w:rPr>
          <w:sz w:val="24"/>
          <w:szCs w:val="24"/>
        </w:rPr>
        <w:t>.</w:t>
      </w:r>
    </w:p>
    <w:p w14:paraId="279EEE0A" w14:textId="118FEE43" w:rsidR="00EB3CA9" w:rsidRDefault="000F434C" w:rsidP="00882CA2">
      <w:pPr>
        <w:jc w:val="both"/>
        <w:rPr>
          <w:sz w:val="24"/>
          <w:szCs w:val="24"/>
        </w:rPr>
      </w:pPr>
      <w:r>
        <w:rPr>
          <w:sz w:val="24"/>
          <w:szCs w:val="24"/>
        </w:rPr>
        <w:t>O BCB realiza supervisão baseada em riscos</w:t>
      </w:r>
      <w:r w:rsidR="001A06E3">
        <w:rPr>
          <w:sz w:val="24"/>
          <w:szCs w:val="24"/>
        </w:rPr>
        <w:t xml:space="preserve"> e, em seu escopo, abrange a avaliação da conduta </w:t>
      </w:r>
      <w:r w:rsidR="00541F33">
        <w:rPr>
          <w:sz w:val="24"/>
          <w:szCs w:val="24"/>
        </w:rPr>
        <w:t>no relacionamento das instituições com seus clientes e usuários de produtos e serviços financeiros.</w:t>
      </w:r>
      <w:r w:rsidR="00A15DC1">
        <w:rPr>
          <w:sz w:val="24"/>
          <w:szCs w:val="24"/>
        </w:rPr>
        <w:t xml:space="preserve"> Nesse específico escopo, </w:t>
      </w:r>
      <w:r w:rsidR="009C3052">
        <w:rPr>
          <w:sz w:val="24"/>
          <w:szCs w:val="24"/>
        </w:rPr>
        <w:t xml:space="preserve">o BCB </w:t>
      </w:r>
      <w:r w:rsidR="005C5BE8">
        <w:rPr>
          <w:sz w:val="24"/>
          <w:szCs w:val="24"/>
        </w:rPr>
        <w:t>informa</w:t>
      </w:r>
      <w:r w:rsidR="009C3052">
        <w:rPr>
          <w:sz w:val="24"/>
          <w:szCs w:val="24"/>
        </w:rPr>
        <w:t xml:space="preserve"> que </w:t>
      </w:r>
      <w:r w:rsidR="00AC7636">
        <w:rPr>
          <w:sz w:val="24"/>
          <w:szCs w:val="24"/>
        </w:rPr>
        <w:t>a</w:t>
      </w:r>
      <w:r w:rsidR="009C3052" w:rsidRPr="009C3052">
        <w:rPr>
          <w:sz w:val="24"/>
          <w:szCs w:val="24"/>
        </w:rPr>
        <w:t>s ações de supervisão leva</w:t>
      </w:r>
      <w:r w:rsidR="00AC7636">
        <w:rPr>
          <w:sz w:val="24"/>
          <w:szCs w:val="24"/>
        </w:rPr>
        <w:t>m</w:t>
      </w:r>
      <w:r w:rsidR="009C3052" w:rsidRPr="009C3052">
        <w:rPr>
          <w:sz w:val="24"/>
          <w:szCs w:val="24"/>
        </w:rPr>
        <w:t xml:space="preserve"> em consideração aspectos relacionados ao mercado de crédito consignado</w:t>
      </w:r>
      <w:r w:rsidR="005C5BE8">
        <w:rPr>
          <w:sz w:val="24"/>
          <w:szCs w:val="24"/>
        </w:rPr>
        <w:t xml:space="preserve"> e destaca que </w:t>
      </w:r>
      <w:r w:rsidR="00882CA2">
        <w:rPr>
          <w:sz w:val="24"/>
          <w:szCs w:val="24"/>
        </w:rPr>
        <w:t xml:space="preserve">“o </w:t>
      </w:r>
      <w:r w:rsidR="00882CA2" w:rsidRPr="00882CA2">
        <w:rPr>
          <w:sz w:val="24"/>
          <w:szCs w:val="24"/>
        </w:rPr>
        <w:t>monitoramento de reclamações a respeito do tema é um importante critério considerado para</w:t>
      </w:r>
      <w:r w:rsidR="00882CA2">
        <w:rPr>
          <w:sz w:val="24"/>
          <w:szCs w:val="24"/>
        </w:rPr>
        <w:t xml:space="preserve"> </w:t>
      </w:r>
      <w:r w:rsidR="00882CA2" w:rsidRPr="00882CA2">
        <w:rPr>
          <w:sz w:val="24"/>
          <w:szCs w:val="24"/>
        </w:rPr>
        <w:t>o planejamento dessas ações</w:t>
      </w:r>
      <w:r w:rsidR="00882CA2">
        <w:rPr>
          <w:sz w:val="24"/>
          <w:szCs w:val="24"/>
        </w:rPr>
        <w:t>”.</w:t>
      </w:r>
    </w:p>
    <w:p w14:paraId="7CCCC217" w14:textId="578511FB" w:rsidR="00A77E73" w:rsidRDefault="00A77E73" w:rsidP="00E915BA">
      <w:pPr>
        <w:jc w:val="both"/>
        <w:rPr>
          <w:sz w:val="24"/>
          <w:szCs w:val="24"/>
        </w:rPr>
      </w:pPr>
      <w:r>
        <w:rPr>
          <w:sz w:val="24"/>
          <w:szCs w:val="24"/>
        </w:rPr>
        <w:t xml:space="preserve">Ainda, </w:t>
      </w:r>
      <w:r w:rsidR="00436CE0">
        <w:rPr>
          <w:sz w:val="24"/>
          <w:szCs w:val="24"/>
        </w:rPr>
        <w:t xml:space="preserve">o BCB reforça que a </w:t>
      </w:r>
      <w:r w:rsidR="00436CE0" w:rsidRPr="00436CE0">
        <w:rPr>
          <w:sz w:val="24"/>
          <w:szCs w:val="24"/>
        </w:rPr>
        <w:t>Resolução CMN nº 4.949, de 30 de setembro de 2021</w:t>
      </w:r>
      <w:r w:rsidR="00436CE0">
        <w:rPr>
          <w:sz w:val="24"/>
          <w:szCs w:val="24"/>
        </w:rPr>
        <w:t>, “</w:t>
      </w:r>
      <w:r w:rsidR="00436CE0" w:rsidRPr="00436CE0">
        <w:rPr>
          <w:sz w:val="24"/>
          <w:szCs w:val="24"/>
        </w:rPr>
        <w:t>estabelece princípios, destacando a necessidade de adequação dos produtos aos clientes, legitimidade, clareza nas informações,</w:t>
      </w:r>
      <w:r w:rsidR="00EC65CD">
        <w:rPr>
          <w:sz w:val="24"/>
          <w:szCs w:val="24"/>
        </w:rPr>
        <w:t xml:space="preserve"> [...] </w:t>
      </w:r>
      <w:r w:rsidR="00B220A3">
        <w:rPr>
          <w:sz w:val="24"/>
          <w:szCs w:val="24"/>
        </w:rPr>
        <w:t xml:space="preserve">cultura organizacional que incentive [...] </w:t>
      </w:r>
      <w:r w:rsidR="00E915BA" w:rsidRPr="00E915BA">
        <w:rPr>
          <w:sz w:val="24"/>
          <w:szCs w:val="24"/>
        </w:rPr>
        <w:t>o tratamento justo e equitativo a clientes e usuários, considerando seus perfis de relacionamento e vulnerabilidades associadas</w:t>
      </w:r>
      <w:r w:rsidR="00E915BA">
        <w:rPr>
          <w:sz w:val="24"/>
          <w:szCs w:val="24"/>
        </w:rPr>
        <w:t>”.</w:t>
      </w:r>
    </w:p>
    <w:p w14:paraId="1DA430E6" w14:textId="6741EC6D" w:rsidR="00E915BA" w:rsidRDefault="00E915BA" w:rsidP="00D203F1">
      <w:pPr>
        <w:jc w:val="both"/>
        <w:rPr>
          <w:sz w:val="24"/>
          <w:szCs w:val="24"/>
        </w:rPr>
      </w:pPr>
      <w:r>
        <w:rPr>
          <w:sz w:val="24"/>
          <w:szCs w:val="24"/>
        </w:rPr>
        <w:t>Por fim, a</w:t>
      </w:r>
      <w:r w:rsidRPr="00E915BA">
        <w:rPr>
          <w:sz w:val="24"/>
          <w:szCs w:val="24"/>
        </w:rPr>
        <w:t xml:space="preserve"> Resolução CMN nº 5.004, de 24 de março de 2022, dispõe que</w:t>
      </w:r>
      <w:r w:rsidR="00D203F1">
        <w:rPr>
          <w:sz w:val="24"/>
          <w:szCs w:val="24"/>
        </w:rPr>
        <w:t xml:space="preserve"> “</w:t>
      </w:r>
      <w:r w:rsidR="00D203F1" w:rsidRPr="00D203F1">
        <w:rPr>
          <w:sz w:val="24"/>
          <w:szCs w:val="24"/>
        </w:rPr>
        <w:t>é vedado às instituições financeiras e demais instituições autorizadas a funcionar pelo BCB realizar ou solicitar cobrança ou averbação de obrigações referentes às operações de crédito ou de arrendamento mercantil financeiro sem a formalização do instrumento representativo do crédito</w:t>
      </w:r>
      <w:r w:rsidR="00D203F1">
        <w:rPr>
          <w:sz w:val="24"/>
          <w:szCs w:val="24"/>
        </w:rPr>
        <w:t>”.</w:t>
      </w:r>
    </w:p>
    <w:p w14:paraId="5E511FA2" w14:textId="4713464E" w:rsidR="000A235F" w:rsidRPr="00707EAE" w:rsidRDefault="000A235F" w:rsidP="000A235F">
      <w:pPr>
        <w:jc w:val="both"/>
        <w:rPr>
          <w:b/>
          <w:bCs/>
          <w:sz w:val="24"/>
          <w:szCs w:val="24"/>
        </w:rPr>
      </w:pPr>
      <w:r>
        <w:rPr>
          <w:b/>
          <w:bCs/>
          <w:sz w:val="24"/>
          <w:szCs w:val="24"/>
        </w:rPr>
        <w:lastRenderedPageBreak/>
        <w:t>1.</w:t>
      </w:r>
      <w:r w:rsidR="006E06B4">
        <w:rPr>
          <w:b/>
          <w:bCs/>
          <w:sz w:val="24"/>
          <w:szCs w:val="24"/>
        </w:rPr>
        <w:t>3</w:t>
      </w:r>
      <w:r>
        <w:rPr>
          <w:b/>
          <w:bCs/>
          <w:sz w:val="24"/>
          <w:szCs w:val="24"/>
        </w:rPr>
        <w:t xml:space="preserve"> </w:t>
      </w:r>
      <w:r w:rsidRPr="00707EAE">
        <w:rPr>
          <w:b/>
          <w:bCs/>
          <w:sz w:val="24"/>
          <w:szCs w:val="24"/>
        </w:rPr>
        <w:t xml:space="preserve">Quanto </w:t>
      </w:r>
      <w:r>
        <w:rPr>
          <w:b/>
          <w:bCs/>
          <w:sz w:val="24"/>
          <w:szCs w:val="24"/>
        </w:rPr>
        <w:t>à</w:t>
      </w:r>
      <w:r w:rsidRPr="0051588B">
        <w:rPr>
          <w:b/>
          <w:bCs/>
          <w:sz w:val="24"/>
          <w:szCs w:val="24"/>
        </w:rPr>
        <w:t xml:space="preserve"> </w:t>
      </w:r>
      <w:r w:rsidRPr="0096788D">
        <w:rPr>
          <w:b/>
          <w:bCs/>
          <w:sz w:val="24"/>
          <w:szCs w:val="24"/>
        </w:rPr>
        <w:t>fiscaliza</w:t>
      </w:r>
      <w:r>
        <w:rPr>
          <w:b/>
          <w:bCs/>
          <w:sz w:val="24"/>
          <w:szCs w:val="24"/>
        </w:rPr>
        <w:t>ção</w:t>
      </w:r>
      <w:r w:rsidRPr="0096788D">
        <w:rPr>
          <w:b/>
          <w:bCs/>
          <w:sz w:val="24"/>
          <w:szCs w:val="24"/>
        </w:rPr>
        <w:t xml:space="preserve"> </w:t>
      </w:r>
      <w:r>
        <w:rPr>
          <w:b/>
          <w:bCs/>
          <w:sz w:val="24"/>
          <w:szCs w:val="24"/>
        </w:rPr>
        <w:t>exercida sobre os correspondentes bancários</w:t>
      </w:r>
      <w:r w:rsidRPr="0096788D">
        <w:rPr>
          <w:b/>
          <w:bCs/>
          <w:sz w:val="24"/>
          <w:szCs w:val="24"/>
        </w:rPr>
        <w:t xml:space="preserve"> em relação às operações de crédito consignado</w:t>
      </w:r>
    </w:p>
    <w:p w14:paraId="0FB4988D" w14:textId="225692FD" w:rsidR="00EB3CA9" w:rsidRPr="00E471C9" w:rsidRDefault="00E471C9" w:rsidP="008253B2">
      <w:pPr>
        <w:jc w:val="both"/>
        <w:rPr>
          <w:i/>
          <w:iCs/>
          <w:sz w:val="24"/>
          <w:szCs w:val="24"/>
        </w:rPr>
      </w:pPr>
      <w:r w:rsidRPr="00E471C9">
        <w:rPr>
          <w:i/>
          <w:iCs/>
          <w:sz w:val="24"/>
          <w:szCs w:val="24"/>
        </w:rPr>
        <w:t>“</w:t>
      </w:r>
      <w:r w:rsidR="008253B2" w:rsidRPr="00E471C9">
        <w:rPr>
          <w:i/>
          <w:iCs/>
          <w:sz w:val="24"/>
          <w:szCs w:val="24"/>
        </w:rPr>
        <w:t>O BCB não fiscaliza diretamente os correspondentes bancários, uma vez que não são entidades autorizadas a funcionar por esta Autarquia. A fiscalização ocorre de forma indireta por meio do acompanhamento do relacionamento dos correspondentes com as entidades supervisionadas. As entidades supervisionas são as responsáveis diretas pelas ações de seus contratados, devendo zelar, controlar e tomar providências para que os normativos vigentes sejam cumpridos.</w:t>
      </w:r>
      <w:r w:rsidRPr="00E471C9">
        <w:rPr>
          <w:i/>
          <w:iCs/>
          <w:sz w:val="24"/>
          <w:szCs w:val="24"/>
        </w:rPr>
        <w:t>”</w:t>
      </w:r>
    </w:p>
    <w:p w14:paraId="5BEF6B92" w14:textId="6B956D8B" w:rsidR="00DA1467" w:rsidRDefault="00E471C9" w:rsidP="00DA1467">
      <w:pPr>
        <w:jc w:val="both"/>
        <w:rPr>
          <w:sz w:val="24"/>
          <w:szCs w:val="24"/>
        </w:rPr>
      </w:pPr>
      <w:r>
        <w:rPr>
          <w:sz w:val="24"/>
          <w:szCs w:val="24"/>
        </w:rPr>
        <w:t>“</w:t>
      </w:r>
      <w:r w:rsidR="00DA1467" w:rsidRPr="00E471C9">
        <w:rPr>
          <w:i/>
          <w:iCs/>
          <w:sz w:val="24"/>
          <w:szCs w:val="24"/>
        </w:rPr>
        <w:t>N</w:t>
      </w:r>
      <w:r w:rsidR="00DA1467" w:rsidRPr="00E471C9">
        <w:rPr>
          <w:i/>
          <w:iCs/>
          <w:sz w:val="24"/>
          <w:szCs w:val="24"/>
        </w:rPr>
        <w:t>o âmbito do BCB, cabe eventual punição às instituições financeiras em caso de descumprimento das normas do CMN e do BCB, sendo de responsabilidade da instituição contratante a conduta dos correspondentes que atuam em seu nome. No entanto, os correspondentes estão sujeitos a diversas punições pelas próprias instituições financeiras que os contratam, tais como bloqueio das atividades, aplicação de multa e até mesmo o encerramento do contrato.</w:t>
      </w:r>
      <w:r w:rsidRPr="00E471C9">
        <w:rPr>
          <w:i/>
          <w:iCs/>
          <w:sz w:val="24"/>
          <w:szCs w:val="24"/>
        </w:rPr>
        <w:t>”</w:t>
      </w:r>
    </w:p>
    <w:p w14:paraId="3F8043FE" w14:textId="15B631E1" w:rsidR="00DA1467" w:rsidRPr="00707EAE" w:rsidRDefault="00DA1467" w:rsidP="00DA1467">
      <w:pPr>
        <w:jc w:val="both"/>
        <w:rPr>
          <w:b/>
          <w:bCs/>
          <w:sz w:val="24"/>
          <w:szCs w:val="24"/>
        </w:rPr>
      </w:pPr>
      <w:r>
        <w:rPr>
          <w:b/>
          <w:bCs/>
          <w:sz w:val="24"/>
          <w:szCs w:val="24"/>
        </w:rPr>
        <w:t>1.</w:t>
      </w:r>
      <w:r>
        <w:rPr>
          <w:b/>
          <w:bCs/>
          <w:sz w:val="24"/>
          <w:szCs w:val="24"/>
        </w:rPr>
        <w:t>4</w:t>
      </w:r>
      <w:r>
        <w:rPr>
          <w:b/>
          <w:bCs/>
          <w:sz w:val="24"/>
          <w:szCs w:val="24"/>
        </w:rPr>
        <w:t xml:space="preserve"> </w:t>
      </w:r>
      <w:r w:rsidRPr="00707EAE">
        <w:rPr>
          <w:b/>
          <w:bCs/>
          <w:sz w:val="24"/>
          <w:szCs w:val="24"/>
        </w:rPr>
        <w:t xml:space="preserve">Quanto </w:t>
      </w:r>
      <w:r>
        <w:rPr>
          <w:b/>
          <w:bCs/>
          <w:sz w:val="24"/>
          <w:szCs w:val="24"/>
        </w:rPr>
        <w:t xml:space="preserve">ao canal de comunicação </w:t>
      </w:r>
      <w:r w:rsidR="0042567B">
        <w:rPr>
          <w:b/>
          <w:bCs/>
          <w:sz w:val="24"/>
          <w:szCs w:val="24"/>
        </w:rPr>
        <w:t>para recebimento de denúncia de desconto indevido de crédito consignado</w:t>
      </w:r>
    </w:p>
    <w:p w14:paraId="0F87E2B3" w14:textId="1BED05C2" w:rsidR="00EB3CA9" w:rsidRDefault="00E471C9" w:rsidP="00E471C9">
      <w:pPr>
        <w:jc w:val="both"/>
        <w:rPr>
          <w:sz w:val="24"/>
          <w:szCs w:val="24"/>
        </w:rPr>
      </w:pPr>
      <w:r w:rsidRPr="00E471C9">
        <w:rPr>
          <w:i/>
          <w:iCs/>
          <w:sz w:val="24"/>
          <w:szCs w:val="24"/>
        </w:rPr>
        <w:t>“</w:t>
      </w:r>
      <w:r w:rsidRPr="00E471C9">
        <w:rPr>
          <w:i/>
          <w:iCs/>
          <w:sz w:val="24"/>
          <w:szCs w:val="24"/>
        </w:rPr>
        <w:t>O BCB disponibiliza canais para registro de reclamações, inclusive as relativas a desconto indevido de crédito consignado, contra entidades supervisionadas. As reclamações podem ser registradas pelo Fale Conosco no site do BCB (https://www.bcb.gov.br/</w:t>
      </w:r>
      <w:proofErr w:type="spellStart"/>
      <w:r w:rsidRPr="00E471C9">
        <w:rPr>
          <w:i/>
          <w:iCs/>
          <w:sz w:val="24"/>
          <w:szCs w:val="24"/>
        </w:rPr>
        <w:t>meubc</w:t>
      </w:r>
      <w:proofErr w:type="spellEnd"/>
      <w:r w:rsidRPr="00E471C9">
        <w:rPr>
          <w:i/>
          <w:iCs/>
          <w:sz w:val="24"/>
          <w:szCs w:val="24"/>
        </w:rPr>
        <w:t>/</w:t>
      </w:r>
      <w:proofErr w:type="spellStart"/>
      <w:r w:rsidRPr="00E471C9">
        <w:rPr>
          <w:i/>
          <w:iCs/>
          <w:sz w:val="24"/>
          <w:szCs w:val="24"/>
        </w:rPr>
        <w:t>registrar_reclamacao</w:t>
      </w:r>
      <w:proofErr w:type="spellEnd"/>
      <w:r w:rsidRPr="00E471C9">
        <w:rPr>
          <w:i/>
          <w:iCs/>
          <w:sz w:val="24"/>
          <w:szCs w:val="24"/>
        </w:rPr>
        <w:t xml:space="preserve">) ou pelo telefone 145, nos dias úteis, </w:t>
      </w:r>
      <w:proofErr w:type="gramStart"/>
      <w:r w:rsidRPr="00E471C9">
        <w:rPr>
          <w:i/>
          <w:iCs/>
          <w:sz w:val="24"/>
          <w:szCs w:val="24"/>
        </w:rPr>
        <w:t>de</w:t>
      </w:r>
      <w:proofErr w:type="gramEnd"/>
      <w:r w:rsidRPr="00E471C9">
        <w:rPr>
          <w:i/>
          <w:iCs/>
          <w:sz w:val="24"/>
          <w:szCs w:val="24"/>
        </w:rPr>
        <w:t xml:space="preserve"> 8hs às 20hs.</w:t>
      </w:r>
      <w:r w:rsidRPr="00E471C9">
        <w:rPr>
          <w:i/>
          <w:iCs/>
          <w:sz w:val="24"/>
          <w:szCs w:val="24"/>
        </w:rPr>
        <w:t>”</w:t>
      </w:r>
    </w:p>
    <w:p w14:paraId="51AADD35" w14:textId="70763B2D" w:rsidR="00E471C9" w:rsidRPr="00707EAE" w:rsidRDefault="00E471C9" w:rsidP="00E471C9">
      <w:pPr>
        <w:jc w:val="both"/>
        <w:rPr>
          <w:b/>
          <w:bCs/>
          <w:sz w:val="24"/>
          <w:szCs w:val="24"/>
        </w:rPr>
      </w:pPr>
      <w:r>
        <w:rPr>
          <w:b/>
          <w:bCs/>
          <w:sz w:val="24"/>
          <w:szCs w:val="24"/>
        </w:rPr>
        <w:t>1.</w:t>
      </w:r>
      <w:r w:rsidR="006C4804">
        <w:rPr>
          <w:b/>
          <w:bCs/>
          <w:sz w:val="24"/>
          <w:szCs w:val="24"/>
        </w:rPr>
        <w:t>5</w:t>
      </w:r>
      <w:r>
        <w:rPr>
          <w:b/>
          <w:bCs/>
          <w:sz w:val="24"/>
          <w:szCs w:val="24"/>
        </w:rPr>
        <w:t xml:space="preserve"> </w:t>
      </w:r>
      <w:r w:rsidRPr="00707EAE">
        <w:rPr>
          <w:b/>
          <w:bCs/>
          <w:sz w:val="24"/>
          <w:szCs w:val="24"/>
        </w:rPr>
        <w:t xml:space="preserve">Quanto </w:t>
      </w:r>
      <w:r>
        <w:rPr>
          <w:b/>
          <w:bCs/>
          <w:sz w:val="24"/>
          <w:szCs w:val="24"/>
        </w:rPr>
        <w:t>ao</w:t>
      </w:r>
      <w:r>
        <w:rPr>
          <w:b/>
          <w:bCs/>
          <w:sz w:val="24"/>
          <w:szCs w:val="24"/>
        </w:rPr>
        <w:t>s</w:t>
      </w:r>
      <w:r>
        <w:rPr>
          <w:b/>
          <w:bCs/>
          <w:sz w:val="24"/>
          <w:szCs w:val="24"/>
        </w:rPr>
        <w:t xml:space="preserve"> </w:t>
      </w:r>
      <w:r>
        <w:rPr>
          <w:b/>
          <w:bCs/>
          <w:sz w:val="24"/>
          <w:szCs w:val="24"/>
        </w:rPr>
        <w:t>procedimento</w:t>
      </w:r>
      <w:r w:rsidR="0042669F">
        <w:rPr>
          <w:b/>
          <w:bCs/>
          <w:sz w:val="24"/>
          <w:szCs w:val="24"/>
        </w:rPr>
        <w:t>s</w:t>
      </w:r>
      <w:r>
        <w:rPr>
          <w:b/>
          <w:bCs/>
          <w:sz w:val="24"/>
          <w:szCs w:val="24"/>
        </w:rPr>
        <w:t xml:space="preserve"> para tratar</w:t>
      </w:r>
      <w:r>
        <w:rPr>
          <w:b/>
          <w:bCs/>
          <w:sz w:val="24"/>
          <w:szCs w:val="24"/>
        </w:rPr>
        <w:t xml:space="preserve"> denúncia de desconto indevido de crédito consignado</w:t>
      </w:r>
    </w:p>
    <w:p w14:paraId="784C0223" w14:textId="4B3860E7" w:rsidR="0042669F" w:rsidRDefault="0042669F" w:rsidP="0042669F">
      <w:pPr>
        <w:jc w:val="both"/>
        <w:rPr>
          <w:sz w:val="24"/>
          <w:szCs w:val="24"/>
        </w:rPr>
      </w:pPr>
      <w:r>
        <w:rPr>
          <w:sz w:val="24"/>
          <w:szCs w:val="24"/>
        </w:rPr>
        <w:t>“</w:t>
      </w:r>
      <w:r w:rsidRPr="0042669F">
        <w:rPr>
          <w:sz w:val="24"/>
          <w:szCs w:val="24"/>
        </w:rPr>
        <w:t>As reclamações recebidas são registradas em sistema próprio (Sistema de Registro de Demandas do Cidadão - RDR) e disponibilizadas às entidades supervisionadas reclamadas para reposta aos interessados, com cópia para o BCB, em até dez dias úteis, conforme Resolução BCB n° 222, de 30 de março de 2022, norma que dispõe sobre o tratamento de reclamações.</w:t>
      </w:r>
      <w:r>
        <w:rPr>
          <w:sz w:val="24"/>
          <w:szCs w:val="24"/>
        </w:rPr>
        <w:t>”</w:t>
      </w:r>
    </w:p>
    <w:p w14:paraId="3C39D5AE" w14:textId="77777777" w:rsidR="006C4804" w:rsidRDefault="001851B6" w:rsidP="001851B6">
      <w:pPr>
        <w:jc w:val="both"/>
        <w:rPr>
          <w:sz w:val="24"/>
          <w:szCs w:val="24"/>
        </w:rPr>
      </w:pPr>
      <w:r>
        <w:rPr>
          <w:sz w:val="24"/>
          <w:szCs w:val="24"/>
        </w:rPr>
        <w:t>“</w:t>
      </w:r>
      <w:r w:rsidRPr="001851B6">
        <w:rPr>
          <w:sz w:val="24"/>
          <w:szCs w:val="24"/>
        </w:rPr>
        <w:t>Após a resposta da instituição reclamada, o BCB busca identificar indícios de descumprimento de dispositivos legais e regulamentares que estejam no escopo de sua supervisão. As demandas sobre crédito consignado seguem esse rito, não havendo, portanto, tratamento específico para o assunto.</w:t>
      </w:r>
      <w:r>
        <w:rPr>
          <w:sz w:val="24"/>
          <w:szCs w:val="24"/>
        </w:rPr>
        <w:t>”</w:t>
      </w:r>
    </w:p>
    <w:p w14:paraId="2F4B4A51" w14:textId="5389157D" w:rsidR="0042669F" w:rsidRDefault="006C4804" w:rsidP="006C4804">
      <w:pPr>
        <w:jc w:val="both"/>
        <w:rPr>
          <w:sz w:val="24"/>
          <w:szCs w:val="24"/>
        </w:rPr>
      </w:pPr>
      <w:r>
        <w:rPr>
          <w:sz w:val="24"/>
          <w:szCs w:val="24"/>
        </w:rPr>
        <w:t>“</w:t>
      </w:r>
      <w:r w:rsidRPr="006C4804">
        <w:rPr>
          <w:sz w:val="24"/>
          <w:szCs w:val="24"/>
        </w:rPr>
        <w:t>Além disso, as reclamações analisadas são estatisticamente consolidadas e publicadas na forma do Ranking de Reclamações, disponibilizado no site do BC (</w:t>
      </w:r>
      <w:hyperlink r:id="rId8" w:history="1">
        <w:r w:rsidRPr="00F1710E">
          <w:rPr>
            <w:rStyle w:val="Hyperlink"/>
            <w:sz w:val="24"/>
            <w:szCs w:val="24"/>
          </w:rPr>
          <w:t>https://www.bcb.gov.br/meubc/rankingreclamacoes)</w:t>
        </w:r>
      </w:hyperlink>
      <w:r w:rsidRPr="006C4804">
        <w:rPr>
          <w:sz w:val="24"/>
          <w:szCs w:val="24"/>
        </w:rPr>
        <w:t>.</w:t>
      </w:r>
      <w:r>
        <w:rPr>
          <w:sz w:val="24"/>
          <w:szCs w:val="24"/>
        </w:rPr>
        <w:t>”</w:t>
      </w:r>
    </w:p>
    <w:p w14:paraId="016DC4CF" w14:textId="4F2CD12D" w:rsidR="006C4804" w:rsidRPr="00707EAE" w:rsidRDefault="006C4804" w:rsidP="008B20A8">
      <w:pPr>
        <w:jc w:val="both"/>
        <w:rPr>
          <w:b/>
          <w:bCs/>
          <w:sz w:val="24"/>
          <w:szCs w:val="24"/>
        </w:rPr>
      </w:pPr>
      <w:r>
        <w:rPr>
          <w:b/>
          <w:bCs/>
          <w:sz w:val="24"/>
          <w:szCs w:val="24"/>
        </w:rPr>
        <w:t>1.</w:t>
      </w:r>
      <w:r w:rsidR="008B20A8">
        <w:rPr>
          <w:b/>
          <w:bCs/>
          <w:sz w:val="24"/>
          <w:szCs w:val="24"/>
        </w:rPr>
        <w:t>6</w:t>
      </w:r>
      <w:r>
        <w:rPr>
          <w:b/>
          <w:bCs/>
          <w:sz w:val="24"/>
          <w:szCs w:val="24"/>
        </w:rPr>
        <w:t xml:space="preserve"> </w:t>
      </w:r>
      <w:r w:rsidRPr="00707EAE">
        <w:rPr>
          <w:b/>
          <w:bCs/>
          <w:sz w:val="24"/>
          <w:szCs w:val="24"/>
        </w:rPr>
        <w:t xml:space="preserve">Quanto </w:t>
      </w:r>
      <w:r>
        <w:rPr>
          <w:b/>
          <w:bCs/>
          <w:sz w:val="24"/>
          <w:szCs w:val="24"/>
        </w:rPr>
        <w:t xml:space="preserve">às formas de proteção ao </w:t>
      </w:r>
      <w:r w:rsidR="008B20A8" w:rsidRPr="008B20A8">
        <w:rPr>
          <w:b/>
          <w:bCs/>
          <w:sz w:val="24"/>
          <w:szCs w:val="24"/>
        </w:rPr>
        <w:t>correntista tomador do crédito consignado, principalmente os beneficiários do INSS</w:t>
      </w:r>
    </w:p>
    <w:p w14:paraId="07227F4D" w14:textId="77777777" w:rsidR="00BD4214" w:rsidRPr="000A334A" w:rsidRDefault="006C4804" w:rsidP="00BD4214">
      <w:pPr>
        <w:jc w:val="both"/>
        <w:rPr>
          <w:i/>
          <w:iCs/>
          <w:sz w:val="24"/>
          <w:szCs w:val="24"/>
        </w:rPr>
      </w:pPr>
      <w:r w:rsidRPr="000A334A">
        <w:rPr>
          <w:i/>
          <w:iCs/>
          <w:sz w:val="24"/>
          <w:szCs w:val="24"/>
        </w:rPr>
        <w:t>“</w:t>
      </w:r>
      <w:r w:rsidR="00BD4214" w:rsidRPr="000A334A">
        <w:rPr>
          <w:i/>
          <w:iCs/>
          <w:sz w:val="24"/>
          <w:szCs w:val="24"/>
        </w:rPr>
        <w:t xml:space="preserve">O BCB não possui competência legal para fiscalizar as regras dos convênios de </w:t>
      </w:r>
    </w:p>
    <w:p w14:paraId="5052209C" w14:textId="2DC72D7D" w:rsidR="00BD7CDD" w:rsidRPr="000A334A" w:rsidRDefault="00BD4214" w:rsidP="00BD4214">
      <w:pPr>
        <w:jc w:val="both"/>
        <w:rPr>
          <w:i/>
          <w:iCs/>
          <w:sz w:val="24"/>
          <w:szCs w:val="24"/>
        </w:rPr>
      </w:pPr>
      <w:r w:rsidRPr="000A334A">
        <w:rPr>
          <w:i/>
          <w:iCs/>
          <w:sz w:val="24"/>
          <w:szCs w:val="24"/>
        </w:rPr>
        <w:lastRenderedPageBreak/>
        <w:t>consignado, como o do INSS. Além disso, também não é responsável pela observância do Código</w:t>
      </w:r>
      <w:r w:rsidRPr="000A334A">
        <w:rPr>
          <w:i/>
          <w:iCs/>
          <w:sz w:val="24"/>
          <w:szCs w:val="24"/>
        </w:rPr>
        <w:t xml:space="preserve"> </w:t>
      </w:r>
      <w:r w:rsidRPr="000A334A">
        <w:rPr>
          <w:i/>
          <w:iCs/>
          <w:sz w:val="24"/>
          <w:szCs w:val="24"/>
        </w:rPr>
        <w:t xml:space="preserve">de Defesa do Consumidor, embora os indícios de irregularidades sejam objeto de comunicação às autoridades competentes, no caso a </w:t>
      </w:r>
      <w:proofErr w:type="spellStart"/>
      <w:r w:rsidRPr="000A334A">
        <w:rPr>
          <w:i/>
          <w:iCs/>
          <w:sz w:val="24"/>
          <w:szCs w:val="24"/>
        </w:rPr>
        <w:t>Senacon</w:t>
      </w:r>
      <w:proofErr w:type="spellEnd"/>
      <w:r w:rsidRPr="000A334A">
        <w:rPr>
          <w:i/>
          <w:iCs/>
          <w:sz w:val="24"/>
          <w:szCs w:val="24"/>
        </w:rPr>
        <w:t xml:space="preserve"> e o Ministério Público, considerando a obrigação legal contida na Lei Complementar nº 105, de 10 de janeiro 2001, como também em acordos de cooperação técnica firmados com a </w:t>
      </w:r>
      <w:proofErr w:type="spellStart"/>
      <w:r w:rsidRPr="000A334A">
        <w:rPr>
          <w:i/>
          <w:iCs/>
          <w:sz w:val="24"/>
          <w:szCs w:val="24"/>
        </w:rPr>
        <w:t>Senacon</w:t>
      </w:r>
      <w:proofErr w:type="spellEnd"/>
      <w:r w:rsidRPr="000A334A">
        <w:rPr>
          <w:i/>
          <w:iCs/>
          <w:sz w:val="24"/>
          <w:szCs w:val="24"/>
        </w:rPr>
        <w:t xml:space="preserve"> e o Ministério Público Federal.</w:t>
      </w:r>
      <w:r w:rsidRPr="000A334A">
        <w:rPr>
          <w:i/>
          <w:iCs/>
          <w:sz w:val="24"/>
          <w:szCs w:val="24"/>
        </w:rPr>
        <w:t>”</w:t>
      </w:r>
    </w:p>
    <w:p w14:paraId="1A13197D" w14:textId="058D5F88" w:rsidR="007535C0" w:rsidRPr="000A334A" w:rsidRDefault="007535C0" w:rsidP="007535C0">
      <w:pPr>
        <w:jc w:val="both"/>
        <w:rPr>
          <w:i/>
          <w:iCs/>
          <w:sz w:val="24"/>
          <w:szCs w:val="24"/>
        </w:rPr>
      </w:pPr>
      <w:r w:rsidRPr="000A334A">
        <w:rPr>
          <w:i/>
          <w:iCs/>
          <w:sz w:val="24"/>
          <w:szCs w:val="24"/>
        </w:rPr>
        <w:t>“</w:t>
      </w:r>
      <w:r w:rsidRPr="000A334A">
        <w:rPr>
          <w:i/>
          <w:iCs/>
          <w:sz w:val="24"/>
          <w:szCs w:val="24"/>
        </w:rPr>
        <w:t>Não obstante, a proteção ao cliente que toma empréstimo consignado pelo BCB é observada por meio da supervisão de conduta e pelas regulamentações do CMN e do BCB. Essas regulamentações incluem disposições que visam garantir um relacionamento adequado das entidades supervisionadas com seus clientes e usuários. Especificamente em relação aos beneficiários do INSS, que frequentemente apresentam algum grau de vulnerabilidade, destaca-se o que está previsto na Resolução CMN nº 4.949, de 30 de setembro 2021. Esse normativo exige que as entidades supervisionadas tratem os clientes e usuários de forma justa e equitativa, levando em consideração seus perfis de relacionamento e vulnerabilidades associadas.</w:t>
      </w:r>
      <w:r w:rsidRPr="000A334A">
        <w:rPr>
          <w:i/>
          <w:iCs/>
          <w:sz w:val="24"/>
          <w:szCs w:val="24"/>
        </w:rPr>
        <w:t>”</w:t>
      </w:r>
    </w:p>
    <w:p w14:paraId="0AEB31E6" w14:textId="60EDCE53" w:rsidR="000A334A" w:rsidRPr="000A334A" w:rsidRDefault="000A334A" w:rsidP="000A334A">
      <w:pPr>
        <w:jc w:val="both"/>
        <w:rPr>
          <w:i/>
          <w:iCs/>
          <w:sz w:val="24"/>
          <w:szCs w:val="24"/>
        </w:rPr>
      </w:pPr>
      <w:r w:rsidRPr="000A334A">
        <w:rPr>
          <w:i/>
          <w:iCs/>
          <w:sz w:val="24"/>
          <w:szCs w:val="24"/>
        </w:rPr>
        <w:t>“</w:t>
      </w:r>
      <w:r w:rsidRPr="000A334A">
        <w:rPr>
          <w:i/>
          <w:iCs/>
          <w:sz w:val="24"/>
          <w:szCs w:val="24"/>
        </w:rPr>
        <w:t>Exige-se que as instituições identifiquem e mapeiem esse público, adotando ações para garantir um tratamento justo e equitativo e mitigar os riscos envolvidos em seu relacionamento com esse público.</w:t>
      </w:r>
      <w:r w:rsidRPr="000A334A">
        <w:rPr>
          <w:i/>
          <w:iCs/>
          <w:sz w:val="24"/>
          <w:szCs w:val="24"/>
        </w:rPr>
        <w:t>”</w:t>
      </w:r>
    </w:p>
    <w:p w14:paraId="72E80FD1" w14:textId="67F7E017" w:rsidR="000A334A" w:rsidRPr="000A334A" w:rsidRDefault="000A334A" w:rsidP="000A334A">
      <w:pPr>
        <w:jc w:val="both"/>
        <w:rPr>
          <w:i/>
          <w:iCs/>
          <w:sz w:val="24"/>
          <w:szCs w:val="24"/>
        </w:rPr>
      </w:pPr>
      <w:r w:rsidRPr="000A334A">
        <w:rPr>
          <w:i/>
          <w:iCs/>
          <w:sz w:val="24"/>
          <w:szCs w:val="24"/>
        </w:rPr>
        <w:t>“</w:t>
      </w:r>
      <w:r w:rsidRPr="000A334A">
        <w:rPr>
          <w:i/>
          <w:iCs/>
          <w:sz w:val="24"/>
          <w:szCs w:val="24"/>
        </w:rPr>
        <w:t>Em complemento às regras gerais de relacionamento com os clientes e usuários dispostas na Resolução CMN nº 4.949, de 2021, a Resolução CMN nº 5.004, de 2022, dispõe sobre requisitos pertinentes ao relacionamento com os clientes a serem observados pelas instituições financeiras e demais instituições autorizadas a funcionar pelo BCB na oferta, na formalização da contratação, na prestação de serviços e na transparência de operações de crédito a seus clientes.</w:t>
      </w:r>
      <w:r w:rsidRPr="000A334A">
        <w:rPr>
          <w:i/>
          <w:iCs/>
          <w:sz w:val="24"/>
          <w:szCs w:val="24"/>
        </w:rPr>
        <w:t>”</w:t>
      </w:r>
    </w:p>
    <w:sectPr w:rsidR="000A334A" w:rsidRPr="000A334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AADD1" w14:textId="77777777" w:rsidR="005238BB" w:rsidRDefault="005238BB" w:rsidP="00923F3E">
      <w:pPr>
        <w:spacing w:after="0" w:line="240" w:lineRule="auto"/>
      </w:pPr>
      <w:r>
        <w:separator/>
      </w:r>
    </w:p>
  </w:endnote>
  <w:endnote w:type="continuationSeparator" w:id="0">
    <w:p w14:paraId="3B66E514" w14:textId="77777777" w:rsidR="005238BB" w:rsidRDefault="005238BB" w:rsidP="00923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4898" w14:textId="77777777" w:rsidR="005238BB" w:rsidRDefault="005238BB" w:rsidP="00923F3E">
      <w:pPr>
        <w:spacing w:after="0" w:line="240" w:lineRule="auto"/>
      </w:pPr>
      <w:r>
        <w:separator/>
      </w:r>
    </w:p>
  </w:footnote>
  <w:footnote w:type="continuationSeparator" w:id="0">
    <w:p w14:paraId="655FCC7E" w14:textId="77777777" w:rsidR="005238BB" w:rsidRDefault="005238BB" w:rsidP="00923F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05"/>
    <w:rsid w:val="000031B7"/>
    <w:rsid w:val="000A0DC3"/>
    <w:rsid w:val="000A235F"/>
    <w:rsid w:val="000A334A"/>
    <w:rsid w:val="000C6846"/>
    <w:rsid w:val="000D71A9"/>
    <w:rsid w:val="000E4DB5"/>
    <w:rsid w:val="000F434C"/>
    <w:rsid w:val="001100EF"/>
    <w:rsid w:val="00132B8A"/>
    <w:rsid w:val="00140272"/>
    <w:rsid w:val="00176FD1"/>
    <w:rsid w:val="0018030B"/>
    <w:rsid w:val="001851B6"/>
    <w:rsid w:val="001A06E3"/>
    <w:rsid w:val="001A12C1"/>
    <w:rsid w:val="00237888"/>
    <w:rsid w:val="002843C9"/>
    <w:rsid w:val="002E2B17"/>
    <w:rsid w:val="00337E57"/>
    <w:rsid w:val="0038610D"/>
    <w:rsid w:val="003E0817"/>
    <w:rsid w:val="004030A0"/>
    <w:rsid w:val="0042567B"/>
    <w:rsid w:val="0042669F"/>
    <w:rsid w:val="00436CE0"/>
    <w:rsid w:val="0051588B"/>
    <w:rsid w:val="005238BB"/>
    <w:rsid w:val="00541F33"/>
    <w:rsid w:val="0054518B"/>
    <w:rsid w:val="00562ABF"/>
    <w:rsid w:val="005A4E48"/>
    <w:rsid w:val="005C5BE8"/>
    <w:rsid w:val="005D1036"/>
    <w:rsid w:val="00607EE6"/>
    <w:rsid w:val="0065244D"/>
    <w:rsid w:val="00667B81"/>
    <w:rsid w:val="006776EA"/>
    <w:rsid w:val="006C4804"/>
    <w:rsid w:val="006D475E"/>
    <w:rsid w:val="006E06B4"/>
    <w:rsid w:val="006E7606"/>
    <w:rsid w:val="006F6B19"/>
    <w:rsid w:val="007535C0"/>
    <w:rsid w:val="00763ED4"/>
    <w:rsid w:val="007B68E7"/>
    <w:rsid w:val="008253B2"/>
    <w:rsid w:val="00841BDF"/>
    <w:rsid w:val="00882CA2"/>
    <w:rsid w:val="00891233"/>
    <w:rsid w:val="008A4686"/>
    <w:rsid w:val="008B03F9"/>
    <w:rsid w:val="008B20A8"/>
    <w:rsid w:val="00923F3E"/>
    <w:rsid w:val="0096788D"/>
    <w:rsid w:val="009C3052"/>
    <w:rsid w:val="00A012ED"/>
    <w:rsid w:val="00A04EDE"/>
    <w:rsid w:val="00A15DC1"/>
    <w:rsid w:val="00A4270A"/>
    <w:rsid w:val="00A523BB"/>
    <w:rsid w:val="00A604A4"/>
    <w:rsid w:val="00A77E73"/>
    <w:rsid w:val="00AC7636"/>
    <w:rsid w:val="00AD0405"/>
    <w:rsid w:val="00AF6706"/>
    <w:rsid w:val="00B14CD3"/>
    <w:rsid w:val="00B220A3"/>
    <w:rsid w:val="00B90E25"/>
    <w:rsid w:val="00BB6B9B"/>
    <w:rsid w:val="00BC03A5"/>
    <w:rsid w:val="00BD4214"/>
    <w:rsid w:val="00BD7CDD"/>
    <w:rsid w:val="00C058A4"/>
    <w:rsid w:val="00C35019"/>
    <w:rsid w:val="00CD5BE6"/>
    <w:rsid w:val="00D203F1"/>
    <w:rsid w:val="00D25443"/>
    <w:rsid w:val="00D513D4"/>
    <w:rsid w:val="00D95A97"/>
    <w:rsid w:val="00DA1467"/>
    <w:rsid w:val="00DD068C"/>
    <w:rsid w:val="00E0156E"/>
    <w:rsid w:val="00E05E4D"/>
    <w:rsid w:val="00E40F39"/>
    <w:rsid w:val="00E471C9"/>
    <w:rsid w:val="00E66913"/>
    <w:rsid w:val="00E915BA"/>
    <w:rsid w:val="00EB3CA9"/>
    <w:rsid w:val="00EC65CD"/>
    <w:rsid w:val="00EE5AF8"/>
    <w:rsid w:val="00F35CB1"/>
    <w:rsid w:val="00F520CE"/>
    <w:rsid w:val="00F63D78"/>
    <w:rsid w:val="00F90FE2"/>
    <w:rsid w:val="00FD2084"/>
    <w:rsid w:val="00FE5BC7"/>
    <w:rsid w:val="00FF7F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0BED"/>
  <w15:chartTrackingRefBased/>
  <w15:docId w15:val="{C8F6E966-A7EA-4DAE-B4DB-6AAF8CEA8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337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iPriority w:val="35"/>
    <w:unhideWhenUsed/>
    <w:qFormat/>
    <w:rsid w:val="00D513D4"/>
    <w:pPr>
      <w:spacing w:after="200" w:line="240" w:lineRule="auto"/>
    </w:pPr>
    <w:rPr>
      <w:i/>
      <w:iCs/>
      <w:color w:val="44546A" w:themeColor="text2"/>
      <w:sz w:val="18"/>
      <w:szCs w:val="18"/>
    </w:rPr>
  </w:style>
  <w:style w:type="character" w:styleId="Hyperlink">
    <w:name w:val="Hyperlink"/>
    <w:basedOn w:val="Fontepargpadro"/>
    <w:uiPriority w:val="99"/>
    <w:unhideWhenUsed/>
    <w:rsid w:val="006C4804"/>
    <w:rPr>
      <w:color w:val="0563C1" w:themeColor="hyperlink"/>
      <w:u w:val="single"/>
    </w:rPr>
  </w:style>
  <w:style w:type="character" w:styleId="MenoPendente">
    <w:name w:val="Unresolved Mention"/>
    <w:basedOn w:val="Fontepargpadro"/>
    <w:uiPriority w:val="99"/>
    <w:semiHidden/>
    <w:unhideWhenUsed/>
    <w:rsid w:val="006C48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2902">
      <w:bodyDiv w:val="1"/>
      <w:marLeft w:val="0"/>
      <w:marRight w:val="0"/>
      <w:marTop w:val="0"/>
      <w:marBottom w:val="0"/>
      <w:divBdr>
        <w:top w:val="none" w:sz="0" w:space="0" w:color="auto"/>
        <w:left w:val="none" w:sz="0" w:space="0" w:color="auto"/>
        <w:bottom w:val="none" w:sz="0" w:space="0" w:color="auto"/>
        <w:right w:val="none" w:sz="0" w:space="0" w:color="auto"/>
      </w:divBdr>
    </w:div>
    <w:div w:id="52895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cb.gov.br/meubc/rankingreclamaco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78C11874FC1E459972AD9F775A86DA" ma:contentTypeVersion="0" ma:contentTypeDescription="Crie um novo documento." ma:contentTypeScope="" ma:versionID="9d5b71393a9e85b7487b86713cce356c">
  <xsd:schema xmlns:xsd="http://www.w3.org/2001/XMLSchema" xmlns:xs="http://www.w3.org/2001/XMLSchema" xmlns:p="http://schemas.microsoft.com/office/2006/metadata/properties" targetNamespace="http://schemas.microsoft.com/office/2006/metadata/properties" ma:root="true" ma:fieldsID="e257547f92819c86ae4143fe76bb6c5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4B95ED-0D42-4A34-B3DF-FA53B8402DB2}"/>
</file>

<file path=customXml/itemProps2.xml><?xml version="1.0" encoding="utf-8"?>
<ds:datastoreItem xmlns:ds="http://schemas.openxmlformats.org/officeDocument/2006/customXml" ds:itemID="{AF5351AD-277A-4435-8650-40EBC1647E42}">
  <ds:schemaRefs>
    <ds:schemaRef ds:uri="http://schemas.microsoft.com/sharepoint/v3/contenttype/forms"/>
  </ds:schemaRefs>
</ds:datastoreItem>
</file>

<file path=customXml/itemProps3.xml><?xml version="1.0" encoding="utf-8"?>
<ds:datastoreItem xmlns:ds="http://schemas.openxmlformats.org/officeDocument/2006/customXml" ds:itemID="{4D8A4B41-8B7E-497F-ADD9-39528119FB3B}"/>
</file>

<file path=docProps/app.xml><?xml version="1.0" encoding="utf-8"?>
<Properties xmlns="http://schemas.openxmlformats.org/officeDocument/2006/extended-properties" xmlns:vt="http://schemas.openxmlformats.org/officeDocument/2006/docPropsVTypes">
  <Template>Normal</Template>
  <TotalTime>139</TotalTime>
  <Pages>3</Pages>
  <Words>1130</Words>
  <Characters>6105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Vinícius Gonçalves Nihari</dc:creator>
  <cp:keywords/>
  <dc:description/>
  <cp:lastModifiedBy>Marcos Vinícius Gonçalves Nihari</cp:lastModifiedBy>
  <cp:revision>75</cp:revision>
  <dcterms:created xsi:type="dcterms:W3CDTF">2023-12-27T18:26:00Z</dcterms:created>
  <dcterms:modified xsi:type="dcterms:W3CDTF">2024-01-31T18:37:00Z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0x0101000F78C11874FC1E459972AD9F775A86DA</vt:lpwstr>
  </property>
</Properties>
</file>